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4C" w:rsidRDefault="007979EB" w:rsidP="0037374C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G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0</wp:posOffset>
            </wp:positionV>
            <wp:extent cx="1978025" cy="1978025"/>
            <wp:effectExtent l="0" t="0" r="0" b="0"/>
            <wp:wrapTight wrapText="bothSides">
              <wp:wrapPolygon edited="0">
                <wp:start x="9569" y="1040"/>
                <wp:lineTo x="7697" y="1664"/>
                <wp:lineTo x="3328" y="3952"/>
                <wp:lineTo x="2704" y="5825"/>
                <wp:lineTo x="1456" y="8113"/>
                <wp:lineTo x="1040" y="11441"/>
                <wp:lineTo x="2080" y="14770"/>
                <wp:lineTo x="4785" y="18514"/>
                <wp:lineTo x="8737" y="19970"/>
                <wp:lineTo x="9569" y="20387"/>
                <wp:lineTo x="11649" y="20387"/>
                <wp:lineTo x="16642" y="18514"/>
                <wp:lineTo x="19346" y="14770"/>
                <wp:lineTo x="20387" y="11441"/>
                <wp:lineTo x="19970" y="8113"/>
                <wp:lineTo x="18514" y="5409"/>
                <wp:lineTo x="18306" y="4161"/>
                <wp:lineTo x="13730" y="1664"/>
                <wp:lineTo x="11857" y="1040"/>
                <wp:lineTo x="9569" y="104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evo Logo-CSUCA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9EB" w:rsidRDefault="007979EB" w:rsidP="0037374C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EB" w:rsidRDefault="007979EB" w:rsidP="0037374C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EB" w:rsidRDefault="007979EB" w:rsidP="0037374C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EB" w:rsidRDefault="007979EB" w:rsidP="0037374C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EB" w:rsidRDefault="007979EB" w:rsidP="0037374C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EB" w:rsidRDefault="007979EB" w:rsidP="0037374C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EB" w:rsidRDefault="007979EB" w:rsidP="0037374C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EB" w:rsidRDefault="007979EB" w:rsidP="0037374C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EB" w:rsidRDefault="007979EB" w:rsidP="0037374C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EB" w:rsidRDefault="007979EB" w:rsidP="0037374C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A5" w:rsidRPr="0037374C" w:rsidRDefault="00D70BA5" w:rsidP="0037374C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74C">
        <w:rPr>
          <w:rFonts w:ascii="Times New Roman" w:hAnsi="Times New Roman" w:cs="Times New Roman"/>
          <w:b/>
          <w:sz w:val="24"/>
          <w:szCs w:val="24"/>
        </w:rPr>
        <w:t xml:space="preserve"> REUNI</w:t>
      </w:r>
      <w:r w:rsidR="005C26BD">
        <w:rPr>
          <w:rFonts w:ascii="Times New Roman" w:hAnsi="Times New Roman" w:cs="Times New Roman"/>
          <w:b/>
          <w:sz w:val="24"/>
          <w:szCs w:val="24"/>
        </w:rPr>
        <w:t>ONES</w:t>
      </w:r>
      <w:r w:rsidRPr="0037374C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5C2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74C" w:rsidRPr="0037374C">
        <w:rPr>
          <w:rFonts w:ascii="Times New Roman" w:hAnsi="Times New Roman" w:cs="Times New Roman"/>
          <w:b/>
          <w:sz w:val="24"/>
          <w:szCs w:val="24"/>
        </w:rPr>
        <w:t>L</w:t>
      </w:r>
      <w:r w:rsidR="005C26BD">
        <w:rPr>
          <w:rFonts w:ascii="Times New Roman" w:hAnsi="Times New Roman" w:cs="Times New Roman"/>
          <w:b/>
          <w:sz w:val="24"/>
          <w:szCs w:val="24"/>
        </w:rPr>
        <w:t>OS</w:t>
      </w:r>
      <w:r w:rsidR="0037374C" w:rsidRPr="0037374C">
        <w:rPr>
          <w:rFonts w:ascii="Times New Roman" w:hAnsi="Times New Roman" w:cs="Times New Roman"/>
          <w:b/>
          <w:sz w:val="24"/>
          <w:szCs w:val="24"/>
        </w:rPr>
        <w:t xml:space="preserve"> SISTEMA</w:t>
      </w:r>
      <w:r w:rsidR="005C26BD">
        <w:rPr>
          <w:rFonts w:ascii="Times New Roman" w:hAnsi="Times New Roman" w:cs="Times New Roman"/>
          <w:b/>
          <w:sz w:val="24"/>
          <w:szCs w:val="24"/>
        </w:rPr>
        <w:t>S</w:t>
      </w:r>
      <w:r w:rsidR="00C14F84">
        <w:rPr>
          <w:rFonts w:ascii="Times New Roman" w:hAnsi="Times New Roman" w:cs="Times New Roman"/>
          <w:b/>
          <w:sz w:val="24"/>
          <w:szCs w:val="24"/>
        </w:rPr>
        <w:t xml:space="preserve"> UNIVERSITARIO</w:t>
      </w:r>
      <w:r w:rsidR="005C26BD">
        <w:rPr>
          <w:rFonts w:ascii="Times New Roman" w:hAnsi="Times New Roman" w:cs="Times New Roman"/>
          <w:b/>
          <w:sz w:val="24"/>
          <w:szCs w:val="24"/>
        </w:rPr>
        <w:t>S</w:t>
      </w:r>
      <w:r w:rsidR="00C14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74C" w:rsidRPr="0037374C">
        <w:rPr>
          <w:rFonts w:ascii="Times New Roman" w:hAnsi="Times New Roman" w:cs="Times New Roman"/>
          <w:b/>
          <w:sz w:val="24"/>
          <w:szCs w:val="24"/>
        </w:rPr>
        <w:t>CETROAMERICA</w:t>
      </w:r>
      <w:r w:rsidR="00C14F84">
        <w:rPr>
          <w:rFonts w:ascii="Times New Roman" w:hAnsi="Times New Roman" w:cs="Times New Roman"/>
          <w:b/>
          <w:sz w:val="24"/>
          <w:szCs w:val="24"/>
        </w:rPr>
        <w:t>NO</w:t>
      </w:r>
      <w:r w:rsidR="005C26BD">
        <w:rPr>
          <w:rFonts w:ascii="Times New Roman" w:hAnsi="Times New Roman" w:cs="Times New Roman"/>
          <w:b/>
          <w:sz w:val="24"/>
          <w:szCs w:val="24"/>
        </w:rPr>
        <w:t>S</w:t>
      </w:r>
      <w:r w:rsidR="0037374C" w:rsidRPr="0037374C">
        <w:rPr>
          <w:rFonts w:ascii="Times New Roman" w:hAnsi="Times New Roman" w:cs="Times New Roman"/>
          <w:b/>
          <w:sz w:val="24"/>
          <w:szCs w:val="24"/>
        </w:rPr>
        <w:t xml:space="preserve"> Y REPÚBLICA DOMINICANA</w:t>
      </w:r>
      <w:r w:rsidRPr="003737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74C" w:rsidRPr="0037374C" w:rsidRDefault="0037374C" w:rsidP="0037374C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74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14F84">
        <w:rPr>
          <w:rFonts w:ascii="Times New Roman" w:hAnsi="Times New Roman" w:cs="Times New Roman"/>
          <w:b/>
          <w:sz w:val="24"/>
          <w:szCs w:val="24"/>
        </w:rPr>
        <w:t>9</w:t>
      </w:r>
    </w:p>
    <w:p w:rsidR="00D70BA5" w:rsidRPr="00D70BA5" w:rsidRDefault="00D70BA5" w:rsidP="00D70B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411F6" w:rsidRPr="0037374C" w:rsidRDefault="00D70BA5" w:rsidP="00D70BA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7374C">
        <w:rPr>
          <w:rFonts w:ascii="Times New Roman" w:hAnsi="Times New Roman" w:cs="Times New Roman"/>
          <w:b/>
          <w:sz w:val="24"/>
          <w:szCs w:val="24"/>
        </w:rPr>
        <w:t>INFORME DE LA SG-CSUCA</w:t>
      </w:r>
    </w:p>
    <w:p w:rsidR="0037374C" w:rsidRDefault="0037374C" w:rsidP="00D70B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14F84" w:rsidRDefault="00C14F84" w:rsidP="00C14F84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37374C" w:rsidRPr="0037374C">
        <w:rPr>
          <w:rFonts w:ascii="Times New Roman" w:hAnsi="Times New Roman" w:cs="Times New Roman"/>
          <w:b/>
          <w:sz w:val="24"/>
          <w:szCs w:val="24"/>
        </w:rPr>
        <w:t>Acuerdos de la CX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7374C" w:rsidRPr="0037374C">
        <w:rPr>
          <w:rFonts w:ascii="Times New Roman" w:hAnsi="Times New Roman" w:cs="Times New Roman"/>
          <w:b/>
          <w:sz w:val="24"/>
          <w:szCs w:val="24"/>
        </w:rPr>
        <w:t>I</w:t>
      </w:r>
      <w:r w:rsidR="00E32C2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y CXIV</w:t>
      </w:r>
      <w:r w:rsidR="0037374C" w:rsidRPr="0037374C">
        <w:rPr>
          <w:rFonts w:ascii="Times New Roman" w:hAnsi="Times New Roman" w:cs="Times New Roman"/>
          <w:b/>
          <w:sz w:val="24"/>
          <w:szCs w:val="24"/>
        </w:rPr>
        <w:t xml:space="preserve"> sesi</w:t>
      </w:r>
      <w:r>
        <w:rPr>
          <w:rFonts w:ascii="Times New Roman" w:hAnsi="Times New Roman" w:cs="Times New Roman"/>
          <w:b/>
          <w:sz w:val="24"/>
          <w:szCs w:val="24"/>
        </w:rPr>
        <w:t>ones</w:t>
      </w:r>
      <w:r w:rsidR="0037374C" w:rsidRPr="0037374C">
        <w:rPr>
          <w:rFonts w:ascii="Times New Roman" w:hAnsi="Times New Roman" w:cs="Times New Roman"/>
          <w:b/>
          <w:sz w:val="24"/>
          <w:szCs w:val="24"/>
        </w:rPr>
        <w:t xml:space="preserve"> de CSUCA.  </w:t>
      </w:r>
    </w:p>
    <w:p w:rsidR="00C14F84" w:rsidRDefault="00C14F84" w:rsidP="00C14F84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Universidad de Belice 12  y 13 de abril 2019. </w:t>
      </w:r>
    </w:p>
    <w:p w:rsidR="0037374C" w:rsidRDefault="00C14F84" w:rsidP="00C14F84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 Nacional Autónoma de Nicaragua-Managua, 19 y 20 de agosto 2019.</w:t>
      </w:r>
    </w:p>
    <w:p w:rsidR="00C14F84" w:rsidRDefault="00C14F84" w:rsidP="00C14F8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A4A8B" w:rsidRPr="002A4A8B" w:rsidRDefault="002A4A8B" w:rsidP="00C12E11">
      <w:pPr>
        <w:pStyle w:val="Sinespaciad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Apoy</w:t>
      </w:r>
      <w:r w:rsidR="008F16AD">
        <w:rPr>
          <w:rFonts w:ascii="Times New Roman" w:hAnsi="Times New Roman"/>
          <w:sz w:val="24"/>
          <w:szCs w:val="24"/>
        </w:rPr>
        <w:t xml:space="preserve">o a </w:t>
      </w:r>
      <w:r>
        <w:rPr>
          <w:rFonts w:ascii="Times New Roman" w:hAnsi="Times New Roman"/>
          <w:sz w:val="24"/>
          <w:szCs w:val="24"/>
        </w:rPr>
        <w:t>la propuesta de la Universidad de Panamá, relacionada con un Acuerdo para que las universidades de la Confederación  nivelen el costo de la matrícula a todos los estudiantes pertenecientes a países miembros del SICA.  2) Que cada uno de los Rectores y Representantes de los Rectores presenten la iniciativa en los Consejos Universitarios o Consejos Directivos para su análisis, aprobación y aplicación.</w:t>
      </w:r>
    </w:p>
    <w:p w:rsidR="002A4A8B" w:rsidRPr="008F16AD" w:rsidRDefault="00E32C26" w:rsidP="00C12E11">
      <w:pPr>
        <w:pStyle w:val="Sinespaciad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C12E11" w:rsidRPr="00853C53">
        <w:rPr>
          <w:rFonts w:ascii="Times New Roman" w:hAnsi="Times New Roman"/>
          <w:sz w:val="24"/>
          <w:szCs w:val="24"/>
        </w:rPr>
        <w:t>lección del cargo de Secretario General</w:t>
      </w:r>
      <w:r w:rsidR="00C12E11">
        <w:rPr>
          <w:rFonts w:ascii="Times New Roman" w:hAnsi="Times New Roman"/>
          <w:sz w:val="24"/>
          <w:szCs w:val="24"/>
        </w:rPr>
        <w:t xml:space="preserve"> Adjunto</w:t>
      </w:r>
      <w:r w:rsidR="00C14F84">
        <w:rPr>
          <w:rFonts w:ascii="Times New Roman" w:hAnsi="Times New Roman"/>
          <w:sz w:val="24"/>
          <w:szCs w:val="24"/>
        </w:rPr>
        <w:t xml:space="preserve"> para Asunto Estudiantiles</w:t>
      </w:r>
      <w:r w:rsidR="00C12E11" w:rsidRPr="00853C53">
        <w:rPr>
          <w:rFonts w:ascii="Times New Roman" w:hAnsi="Times New Roman"/>
          <w:sz w:val="24"/>
          <w:szCs w:val="24"/>
        </w:rPr>
        <w:t>, período 201</w:t>
      </w:r>
      <w:r w:rsidR="00C14F84">
        <w:rPr>
          <w:rFonts w:ascii="Times New Roman" w:hAnsi="Times New Roman"/>
          <w:sz w:val="24"/>
          <w:szCs w:val="24"/>
        </w:rPr>
        <w:t>9</w:t>
      </w:r>
      <w:r w:rsidR="00C12E11">
        <w:rPr>
          <w:rFonts w:ascii="Times New Roman" w:hAnsi="Times New Roman"/>
          <w:sz w:val="24"/>
          <w:szCs w:val="24"/>
        </w:rPr>
        <w:t xml:space="preserve">- </w:t>
      </w:r>
      <w:r w:rsidR="00C12E11" w:rsidRPr="00853C53">
        <w:rPr>
          <w:rFonts w:ascii="Times New Roman" w:hAnsi="Times New Roman"/>
          <w:sz w:val="24"/>
          <w:szCs w:val="24"/>
        </w:rPr>
        <w:t>20</w:t>
      </w:r>
      <w:r w:rsidR="00C12E11">
        <w:rPr>
          <w:rFonts w:ascii="Times New Roman" w:hAnsi="Times New Roman"/>
          <w:sz w:val="24"/>
          <w:szCs w:val="24"/>
        </w:rPr>
        <w:t>2</w:t>
      </w:r>
      <w:r w:rsidR="00C14F84">
        <w:rPr>
          <w:rFonts w:ascii="Times New Roman" w:hAnsi="Times New Roman"/>
          <w:sz w:val="24"/>
          <w:szCs w:val="24"/>
        </w:rPr>
        <w:t>3</w:t>
      </w:r>
      <w:r w:rsidR="00C12E11" w:rsidRPr="00853C53">
        <w:rPr>
          <w:rFonts w:ascii="Times New Roman" w:hAnsi="Times New Roman"/>
          <w:sz w:val="24"/>
          <w:szCs w:val="24"/>
        </w:rPr>
        <w:t xml:space="preserve">, </w:t>
      </w:r>
    </w:p>
    <w:p w:rsidR="008F16AD" w:rsidRPr="00C12E11" w:rsidRDefault="008F16AD" w:rsidP="00C12E11">
      <w:pPr>
        <w:pStyle w:val="Sinespaciad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A</w:t>
      </w:r>
      <w:r w:rsidRPr="00CC49BD">
        <w:rPr>
          <w:rFonts w:ascii="Times New Roman" w:eastAsia="Calibri" w:hAnsi="Times New Roman"/>
          <w:sz w:val="24"/>
        </w:rPr>
        <w:t>proba</w:t>
      </w:r>
      <w:r>
        <w:rPr>
          <w:rFonts w:ascii="Times New Roman" w:eastAsia="Calibri" w:hAnsi="Times New Roman"/>
          <w:sz w:val="24"/>
        </w:rPr>
        <w:t>ción</w:t>
      </w:r>
      <w:r w:rsidRPr="00CC49BD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d</w:t>
      </w:r>
      <w:r w:rsidRPr="00CC49BD">
        <w:rPr>
          <w:rFonts w:ascii="Times New Roman" w:eastAsia="Calibri" w:hAnsi="Times New Roman"/>
          <w:sz w:val="24"/>
        </w:rPr>
        <w:t>el Plan de trabajo y presupuesto 20</w:t>
      </w:r>
      <w:r w:rsidR="00C14F84">
        <w:rPr>
          <w:rFonts w:ascii="Times New Roman" w:eastAsia="Calibri" w:hAnsi="Times New Roman"/>
          <w:sz w:val="24"/>
        </w:rPr>
        <w:t>20</w:t>
      </w:r>
      <w:r w:rsidRPr="00CC49BD">
        <w:rPr>
          <w:rFonts w:ascii="Times New Roman" w:eastAsia="Calibri" w:hAnsi="Times New Roman"/>
          <w:sz w:val="24"/>
        </w:rPr>
        <w:t xml:space="preserve"> presentado por la Secretaría General (SG-CSUCA),</w:t>
      </w:r>
    </w:p>
    <w:p w:rsidR="00C12E11" w:rsidRPr="00120F78" w:rsidRDefault="00C12E11" w:rsidP="009F1620">
      <w:pPr>
        <w:pStyle w:val="Sinespaciado"/>
        <w:numPr>
          <w:ilvl w:val="1"/>
          <w:numId w:val="2"/>
        </w:numPr>
        <w:jc w:val="both"/>
        <w:rPr>
          <w:rFonts w:ascii="Times New Roman" w:hAnsi="Times New Roman"/>
          <w:b/>
          <w:sz w:val="24"/>
        </w:rPr>
      </w:pPr>
      <w:r w:rsidRPr="00290A3A">
        <w:rPr>
          <w:rFonts w:ascii="Times New Roman" w:hAnsi="Times New Roman"/>
          <w:sz w:val="24"/>
        </w:rPr>
        <w:t xml:space="preserve">Realizar </w:t>
      </w:r>
      <w:r w:rsidR="00C14F84">
        <w:rPr>
          <w:rFonts w:ascii="Times New Roman" w:hAnsi="Times New Roman"/>
          <w:sz w:val="24"/>
        </w:rPr>
        <w:t>e</w:t>
      </w:r>
      <w:r w:rsidRPr="00290A3A">
        <w:rPr>
          <w:rFonts w:ascii="Times New Roman" w:hAnsi="Times New Roman"/>
          <w:sz w:val="24"/>
        </w:rPr>
        <w:t xml:space="preserve">l </w:t>
      </w:r>
      <w:r w:rsidR="00C14F84">
        <w:rPr>
          <w:rFonts w:ascii="Times New Roman" w:hAnsi="Times New Roman"/>
          <w:sz w:val="24"/>
        </w:rPr>
        <w:t>I</w:t>
      </w:r>
      <w:r w:rsidRPr="00290A3A">
        <w:rPr>
          <w:rFonts w:ascii="Times New Roman" w:hAnsi="Times New Roman"/>
          <w:sz w:val="24"/>
        </w:rPr>
        <w:t>X</w:t>
      </w:r>
      <w:r w:rsidR="00C14F84">
        <w:rPr>
          <w:rFonts w:ascii="Times New Roman" w:hAnsi="Times New Roman"/>
          <w:sz w:val="24"/>
        </w:rPr>
        <w:t xml:space="preserve"> Congreso Universitario Centroamericano</w:t>
      </w:r>
      <w:r w:rsidR="00FC2D95">
        <w:rPr>
          <w:rFonts w:ascii="Times New Roman" w:hAnsi="Times New Roman"/>
          <w:sz w:val="24"/>
        </w:rPr>
        <w:t xml:space="preserve"> </w:t>
      </w:r>
      <w:r w:rsidR="00E32C26">
        <w:rPr>
          <w:rFonts w:ascii="Times New Roman" w:hAnsi="Times New Roman"/>
          <w:sz w:val="24"/>
        </w:rPr>
        <w:t xml:space="preserve">en </w:t>
      </w:r>
      <w:r w:rsidR="00FC2D95">
        <w:rPr>
          <w:rFonts w:ascii="Times New Roman" w:hAnsi="Times New Roman"/>
          <w:sz w:val="24"/>
        </w:rPr>
        <w:t>e</w:t>
      </w:r>
      <w:r w:rsidR="00E32C26">
        <w:rPr>
          <w:rFonts w:ascii="Times New Roman" w:hAnsi="Times New Roman"/>
          <w:sz w:val="24"/>
        </w:rPr>
        <w:t>l primer sem</w:t>
      </w:r>
      <w:r w:rsidR="00FC2D95">
        <w:rPr>
          <w:rFonts w:ascii="Times New Roman" w:hAnsi="Times New Roman"/>
          <w:sz w:val="24"/>
        </w:rPr>
        <w:t>estre</w:t>
      </w:r>
      <w:r w:rsidR="00E32C26">
        <w:rPr>
          <w:rFonts w:ascii="Times New Roman" w:hAnsi="Times New Roman"/>
          <w:sz w:val="24"/>
        </w:rPr>
        <w:t xml:space="preserve"> de</w:t>
      </w:r>
      <w:r w:rsidR="00FC2D95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 20</w:t>
      </w:r>
      <w:r w:rsidR="00FC2D9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 w:rsidR="00FC2D95">
        <w:rPr>
          <w:rFonts w:ascii="Times New Roman" w:hAnsi="Times New Roman"/>
          <w:sz w:val="24"/>
        </w:rPr>
        <w:t>, en Honduras, con el apoyo de las cuatro universidades de ese país</w:t>
      </w:r>
      <w:proofErr w:type="gramStart"/>
      <w:r w:rsidR="00FC2D95">
        <w:rPr>
          <w:rFonts w:ascii="Times New Roman" w:hAnsi="Times New Roman"/>
          <w:sz w:val="24"/>
        </w:rPr>
        <w:t>.</w:t>
      </w:r>
      <w:r w:rsidR="00E32C26">
        <w:rPr>
          <w:rFonts w:ascii="Times New Roman" w:hAnsi="Times New Roman"/>
          <w:sz w:val="24"/>
        </w:rPr>
        <w:t>.</w:t>
      </w:r>
      <w:proofErr w:type="gramEnd"/>
    </w:p>
    <w:p w:rsidR="00E32C26" w:rsidRPr="002B1058" w:rsidRDefault="00FC2D95" w:rsidP="00BD7C53">
      <w:pPr>
        <w:pStyle w:val="Sinespaciad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Firma de un Memorándum de Entendimiento entre la empresa HUAWEI y la SG-CSUCA para el apoyo de</w:t>
      </w:r>
      <w:r w:rsidR="00C12E11" w:rsidRPr="00E32C26">
        <w:rPr>
          <w:rFonts w:ascii="Times New Roman" w:hAnsi="Times New Roman"/>
          <w:sz w:val="24"/>
        </w:rPr>
        <w:t>l proyecto: Convergencia Tecnológica y Multimedia para la Educación Superior</w:t>
      </w:r>
      <w:r>
        <w:rPr>
          <w:rFonts w:ascii="Times New Roman" w:hAnsi="Times New Roman"/>
          <w:sz w:val="24"/>
        </w:rPr>
        <w:t>.</w:t>
      </w:r>
    </w:p>
    <w:p w:rsidR="002B1058" w:rsidRPr="003C4F0D" w:rsidRDefault="002B1058" w:rsidP="00BD7C53">
      <w:pPr>
        <w:pStyle w:val="Sinespaciad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9BD">
        <w:rPr>
          <w:rFonts w:ascii="Times New Roman" w:hAnsi="Times New Roman"/>
          <w:sz w:val="24"/>
          <w:szCs w:val="24"/>
        </w:rPr>
        <w:t>Aproba</w:t>
      </w:r>
      <w:r>
        <w:rPr>
          <w:rFonts w:ascii="Times New Roman" w:hAnsi="Times New Roman"/>
          <w:sz w:val="24"/>
          <w:szCs w:val="24"/>
        </w:rPr>
        <w:t>ción de</w:t>
      </w:r>
      <w:r w:rsidRPr="00CC49BD">
        <w:rPr>
          <w:rFonts w:ascii="Times New Roman" w:hAnsi="Times New Roman"/>
          <w:sz w:val="24"/>
          <w:szCs w:val="24"/>
        </w:rPr>
        <w:t xml:space="preserve"> las modificaciones al reglamento del Sistema Editorial Universitario Centroamericano, SEDUCA</w:t>
      </w:r>
      <w:r w:rsidR="003C4F0D">
        <w:rPr>
          <w:rFonts w:ascii="Times New Roman" w:hAnsi="Times New Roman"/>
          <w:sz w:val="24"/>
          <w:szCs w:val="24"/>
        </w:rPr>
        <w:t>.</w:t>
      </w:r>
    </w:p>
    <w:p w:rsidR="002460EB" w:rsidRPr="002460EB" w:rsidRDefault="003C4F0D" w:rsidP="007E61E0">
      <w:pPr>
        <w:pStyle w:val="Sinespaciado"/>
        <w:numPr>
          <w:ilvl w:val="1"/>
          <w:numId w:val="2"/>
        </w:numPr>
        <w:jc w:val="both"/>
        <w:rPr>
          <w:rFonts w:ascii="Times New Roman" w:hAnsi="Times New Roman"/>
          <w:bCs/>
          <w:sz w:val="24"/>
          <w:lang w:eastAsia="es-GT"/>
        </w:rPr>
      </w:pPr>
      <w:r w:rsidRPr="002460EB">
        <w:rPr>
          <w:rFonts w:ascii="Times New Roman" w:eastAsia="Calibri" w:hAnsi="Times New Roman"/>
          <w:sz w:val="24"/>
        </w:rPr>
        <w:t xml:space="preserve">Contratación de los servicios profesionales de la firma auditora </w:t>
      </w:r>
      <w:proofErr w:type="spellStart"/>
      <w:r w:rsidRPr="002460EB">
        <w:rPr>
          <w:rFonts w:ascii="Times New Roman" w:eastAsia="Calibri" w:hAnsi="Times New Roman"/>
          <w:sz w:val="24"/>
        </w:rPr>
        <w:t>Say</w:t>
      </w:r>
      <w:proofErr w:type="spellEnd"/>
      <w:r w:rsidRPr="002460EB">
        <w:rPr>
          <w:rFonts w:ascii="Times New Roman" w:eastAsia="Calibri" w:hAnsi="Times New Roman"/>
          <w:sz w:val="24"/>
        </w:rPr>
        <w:t xml:space="preserve"> &amp;Asociados  para que realice la Auditoría correspondiente al período comprendido del 1 de </w:t>
      </w:r>
      <w:r w:rsidR="00FC2D95">
        <w:rPr>
          <w:rFonts w:ascii="Times New Roman" w:eastAsia="Calibri" w:hAnsi="Times New Roman"/>
          <w:sz w:val="24"/>
        </w:rPr>
        <w:t>enero al 31 de diciembre de 2019</w:t>
      </w:r>
      <w:r w:rsidR="002460EB" w:rsidRPr="002460EB">
        <w:rPr>
          <w:rFonts w:ascii="Times New Roman" w:eastAsia="Calibri" w:hAnsi="Times New Roman"/>
          <w:sz w:val="24"/>
        </w:rPr>
        <w:t xml:space="preserve">. </w:t>
      </w:r>
    </w:p>
    <w:p w:rsidR="002460EB" w:rsidRPr="001237D5" w:rsidRDefault="00FC2D95" w:rsidP="00BD7C53">
      <w:pPr>
        <w:pStyle w:val="Sinespaciad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lang w:eastAsia="es-GT"/>
        </w:rPr>
        <w:t>Está en ejecución la</w:t>
      </w:r>
      <w:r w:rsidR="001237D5" w:rsidRPr="00CC49BD">
        <w:rPr>
          <w:rFonts w:ascii="Times New Roman" w:hAnsi="Times New Roman"/>
          <w:bCs/>
          <w:sz w:val="24"/>
          <w:lang w:eastAsia="es-GT"/>
        </w:rPr>
        <w:t xml:space="preserve"> Restructuración y Ampliación del Sistema de Información Regional de la Educación Superior Centroamericana (SIRESCA)</w:t>
      </w:r>
      <w:r>
        <w:rPr>
          <w:rFonts w:ascii="Times New Roman" w:hAnsi="Times New Roman"/>
          <w:bCs/>
          <w:sz w:val="24"/>
          <w:lang w:eastAsia="es-GT"/>
        </w:rPr>
        <w:t>, para lo cual se i</w:t>
      </w:r>
      <w:r w:rsidR="001237D5" w:rsidRPr="00CC49BD">
        <w:rPr>
          <w:rFonts w:ascii="Times New Roman" w:hAnsi="Times New Roman"/>
          <w:bCs/>
          <w:sz w:val="24"/>
          <w:lang w:eastAsia="es-GT"/>
        </w:rPr>
        <w:t>ntegr</w:t>
      </w:r>
      <w:r>
        <w:rPr>
          <w:rFonts w:ascii="Times New Roman" w:hAnsi="Times New Roman"/>
          <w:bCs/>
          <w:sz w:val="24"/>
          <w:lang w:eastAsia="es-GT"/>
        </w:rPr>
        <w:t>ó</w:t>
      </w:r>
      <w:r w:rsidR="001237D5" w:rsidRPr="00CC49BD">
        <w:rPr>
          <w:rFonts w:ascii="Times New Roman" w:hAnsi="Times New Roman"/>
          <w:bCs/>
          <w:sz w:val="24"/>
          <w:lang w:eastAsia="es-GT"/>
        </w:rPr>
        <w:t xml:space="preserve"> una Comisión Técnica para desarrollar el proyecto</w:t>
      </w:r>
      <w:r>
        <w:rPr>
          <w:rFonts w:ascii="Times New Roman" w:hAnsi="Times New Roman"/>
          <w:bCs/>
          <w:sz w:val="24"/>
          <w:lang w:eastAsia="es-GT"/>
        </w:rPr>
        <w:t>.</w:t>
      </w:r>
      <w:r w:rsidR="001237D5" w:rsidRPr="00CC49BD">
        <w:rPr>
          <w:rFonts w:ascii="Times New Roman" w:hAnsi="Times New Roman"/>
          <w:bCs/>
          <w:sz w:val="24"/>
          <w:lang w:eastAsia="es-GT"/>
        </w:rPr>
        <w:t xml:space="preserve"> </w:t>
      </w:r>
      <w:r>
        <w:rPr>
          <w:rFonts w:ascii="Times New Roman" w:hAnsi="Times New Roman"/>
          <w:bCs/>
          <w:sz w:val="24"/>
          <w:lang w:eastAsia="es-GT"/>
        </w:rPr>
        <w:t>L</w:t>
      </w:r>
      <w:r w:rsidR="001237D5" w:rsidRPr="00CC49BD">
        <w:rPr>
          <w:rFonts w:ascii="Times New Roman" w:hAnsi="Times New Roman"/>
          <w:bCs/>
          <w:sz w:val="24"/>
          <w:lang w:eastAsia="es-GT"/>
        </w:rPr>
        <w:t xml:space="preserve">os sistemas </w:t>
      </w:r>
      <w:r>
        <w:rPr>
          <w:rFonts w:ascii="Times New Roman" w:hAnsi="Times New Roman"/>
          <w:bCs/>
          <w:sz w:val="24"/>
          <w:lang w:eastAsia="es-GT"/>
        </w:rPr>
        <w:t xml:space="preserve">están </w:t>
      </w:r>
      <w:r w:rsidR="001237D5" w:rsidRPr="00CC49BD">
        <w:rPr>
          <w:rFonts w:ascii="Times New Roman" w:hAnsi="Times New Roman"/>
          <w:bCs/>
          <w:sz w:val="24"/>
          <w:lang w:eastAsia="es-GT"/>
        </w:rPr>
        <w:t>colabora</w:t>
      </w:r>
      <w:r>
        <w:rPr>
          <w:rFonts w:ascii="Times New Roman" w:hAnsi="Times New Roman"/>
          <w:bCs/>
          <w:sz w:val="24"/>
          <w:lang w:eastAsia="es-GT"/>
        </w:rPr>
        <w:t>ndo</w:t>
      </w:r>
      <w:r w:rsidR="001237D5" w:rsidRPr="00CC49BD">
        <w:rPr>
          <w:rFonts w:ascii="Times New Roman" w:hAnsi="Times New Roman"/>
          <w:bCs/>
          <w:sz w:val="24"/>
          <w:lang w:eastAsia="es-GT"/>
        </w:rPr>
        <w:t xml:space="preserve"> activamente  en el planteamiento y definición de indicadores y seguimiento a la alimentación de la información. </w:t>
      </w:r>
      <w:r>
        <w:rPr>
          <w:rFonts w:ascii="Times New Roman" w:hAnsi="Times New Roman"/>
          <w:bCs/>
          <w:sz w:val="24"/>
          <w:lang w:eastAsia="es-GT"/>
        </w:rPr>
        <w:t>L</w:t>
      </w:r>
      <w:r w:rsidR="001237D5" w:rsidRPr="00CC49BD">
        <w:rPr>
          <w:rFonts w:ascii="Times New Roman" w:hAnsi="Times New Roman"/>
          <w:bCs/>
          <w:sz w:val="24"/>
          <w:lang w:eastAsia="es-GT"/>
        </w:rPr>
        <w:t>os nodos del CSUCA de las universidades miembros  identifica</w:t>
      </w:r>
      <w:r>
        <w:rPr>
          <w:rFonts w:ascii="Times New Roman" w:hAnsi="Times New Roman"/>
          <w:bCs/>
          <w:sz w:val="24"/>
          <w:lang w:eastAsia="es-GT"/>
        </w:rPr>
        <w:t>ran</w:t>
      </w:r>
      <w:r w:rsidR="001237D5" w:rsidRPr="00CC49BD">
        <w:rPr>
          <w:rFonts w:ascii="Times New Roman" w:hAnsi="Times New Roman"/>
          <w:bCs/>
          <w:sz w:val="24"/>
          <w:lang w:eastAsia="es-GT"/>
        </w:rPr>
        <w:t xml:space="preserve"> </w:t>
      </w:r>
      <w:r>
        <w:rPr>
          <w:rFonts w:ascii="Times New Roman" w:hAnsi="Times New Roman"/>
          <w:bCs/>
          <w:sz w:val="24"/>
          <w:lang w:eastAsia="es-GT"/>
        </w:rPr>
        <w:t>lo</w:t>
      </w:r>
      <w:r w:rsidR="001237D5">
        <w:rPr>
          <w:rFonts w:ascii="Times New Roman" w:hAnsi="Times New Roman"/>
          <w:bCs/>
          <w:sz w:val="24"/>
          <w:lang w:eastAsia="es-GT"/>
        </w:rPr>
        <w:t xml:space="preserve"> mecanismos de </w:t>
      </w:r>
      <w:r w:rsidR="001237D5" w:rsidRPr="00CC49BD">
        <w:rPr>
          <w:rFonts w:ascii="Times New Roman" w:hAnsi="Times New Roman"/>
          <w:bCs/>
          <w:sz w:val="24"/>
          <w:lang w:eastAsia="es-GT"/>
        </w:rPr>
        <w:t>alimentación de información de las universidades para el SIRES</w:t>
      </w:r>
      <w:r w:rsidR="001237D5">
        <w:rPr>
          <w:rFonts w:ascii="Times New Roman" w:hAnsi="Times New Roman"/>
          <w:bCs/>
          <w:sz w:val="24"/>
          <w:lang w:eastAsia="es-GT"/>
        </w:rPr>
        <w:t>CA.</w:t>
      </w:r>
    </w:p>
    <w:p w:rsidR="009C5745" w:rsidRDefault="001237D5" w:rsidP="00472B8C">
      <w:pPr>
        <w:pStyle w:val="Prrafodelista"/>
        <w:numPr>
          <w:ilvl w:val="1"/>
          <w:numId w:val="2"/>
        </w:numPr>
        <w:jc w:val="both"/>
      </w:pPr>
      <w:r w:rsidRPr="009C5745">
        <w:rPr>
          <w:lang w:val="es-MX"/>
        </w:rPr>
        <w:lastRenderedPageBreak/>
        <w:t xml:space="preserve">Se recomienda a las instituciones de educación superior de los países de la región, a los organismos nacionales de regulación y coordinación de la educación superior, a los organismos de evaluación y acreditación de calidad de la educación superior y a otras instituciones e instancias afines de los países de la región, la utilización del Marco de Cualificaciones para la educación superior Centroamericana MCESCA, como un documento de referencia regional. </w:t>
      </w:r>
      <w:r w:rsidRPr="009C5745">
        <w:rPr>
          <w:b/>
          <w:lang w:val="es-MX"/>
        </w:rPr>
        <w:t xml:space="preserve"> 2)</w:t>
      </w:r>
      <w:r w:rsidRPr="009C5745">
        <w:rPr>
          <w:lang w:val="es-MX"/>
        </w:rPr>
        <w:t xml:space="preserve"> Se Sugiere la proactiva utilización del MCESCA como un referente regional útil en procesos de </w:t>
      </w:r>
      <w:r w:rsidRPr="009C5745">
        <w:rPr>
          <w:b/>
          <w:bCs/>
        </w:rPr>
        <w:t xml:space="preserve">planificación, innovación, reforma y actualización curricular </w:t>
      </w:r>
      <w:r w:rsidRPr="009C5745">
        <w:t xml:space="preserve">de sus programas de estudio, en procesos de </w:t>
      </w:r>
      <w:r w:rsidRPr="009C5745">
        <w:rPr>
          <w:b/>
          <w:bCs/>
        </w:rPr>
        <w:t xml:space="preserve">actualización y capacitación docente </w:t>
      </w:r>
      <w:r w:rsidRPr="009C5745">
        <w:t xml:space="preserve">de su personal académico, en procesos de </w:t>
      </w:r>
      <w:r w:rsidRPr="009C5745">
        <w:rPr>
          <w:b/>
          <w:bCs/>
        </w:rPr>
        <w:t>autoevaluación de la calidad de sus programas de estudio</w:t>
      </w:r>
      <w:r w:rsidRPr="009C5745">
        <w:t xml:space="preserve">, en procesos de </w:t>
      </w:r>
      <w:r w:rsidRPr="009C5745">
        <w:rPr>
          <w:b/>
          <w:bCs/>
        </w:rPr>
        <w:t>reconocimiento y convalidación de estudios, grados y títulos</w:t>
      </w:r>
      <w:r w:rsidRPr="009C5745">
        <w:t xml:space="preserve"> realizados y obtenidos en universidades de otros países de la región, etc. </w:t>
      </w:r>
      <w:r w:rsidRPr="009C5745">
        <w:rPr>
          <w:b/>
        </w:rPr>
        <w:t>3)</w:t>
      </w:r>
      <w:r w:rsidRPr="009C5745">
        <w:t xml:space="preserve"> </w:t>
      </w:r>
      <w:r>
        <w:t>Se e</w:t>
      </w:r>
      <w:r w:rsidRPr="009C5745">
        <w:t xml:space="preserve">xhortar a las universidades miembros a contribuir activamente en la reproducción y en la más amplia difusión y utilización posible de este valioso instrumento regional de referencia. Que viene a contribuir a los esfuerzos por innovar y mejorar la calidad académica de la educación superior de la región. </w:t>
      </w:r>
      <w:r w:rsidRPr="009C5745">
        <w:rPr>
          <w:b/>
        </w:rPr>
        <w:t>4)</w:t>
      </w:r>
      <w:r w:rsidRPr="009C5745">
        <w:t xml:space="preserve"> </w:t>
      </w:r>
      <w:r>
        <w:t>Se i</w:t>
      </w:r>
      <w:r w:rsidRPr="009C5745">
        <w:t>nstar a la Secretaría General, al SICEVAES y al SIRCIP a continuar desarrollando y actualizando de manera periódica el Marco de Cualificaciones y a colaborar con otras instancias para completarlo con otros niveles educativos.</w:t>
      </w:r>
      <w:r w:rsidR="009C5745">
        <w:t xml:space="preserve"> </w:t>
      </w:r>
    </w:p>
    <w:p w:rsidR="00C12E11" w:rsidRPr="009C5745" w:rsidRDefault="00C12E11" w:rsidP="00472B8C">
      <w:pPr>
        <w:pStyle w:val="Prrafodelista"/>
        <w:numPr>
          <w:ilvl w:val="1"/>
          <w:numId w:val="2"/>
        </w:numPr>
        <w:jc w:val="both"/>
      </w:pPr>
      <w:r w:rsidRPr="009C5745">
        <w:t>En relación al programa 1 de PIRESC IV: “Políticas, Gestión y Transformación universitaria”, el CSUCA aprobó que cada miembro del CSUCA informe</w:t>
      </w:r>
      <w:r w:rsidR="00E32C26" w:rsidRPr="009C5745">
        <w:t xml:space="preserve"> sobre lo actuado en relación a los informes presentados a sus </w:t>
      </w:r>
      <w:r w:rsidRPr="009C5745">
        <w:t xml:space="preserve">Consejos Universitarios y Federaciones estudiantiles de sus universidades </w:t>
      </w:r>
      <w:r w:rsidR="00E32C26" w:rsidRPr="009C5745">
        <w:t xml:space="preserve">y </w:t>
      </w:r>
      <w:r w:rsidRPr="009C5745">
        <w:t>el espacio</w:t>
      </w:r>
      <w:r w:rsidR="00E32C26" w:rsidRPr="009C5745">
        <w:t xml:space="preserve"> generado</w:t>
      </w:r>
      <w:r w:rsidRPr="009C5745">
        <w:t xml:space="preserve"> para dar a conocer temas relacionados con el CSUCA.</w:t>
      </w:r>
    </w:p>
    <w:p w:rsidR="008B038F" w:rsidRDefault="008B038F" w:rsidP="008B038F">
      <w:pPr>
        <w:pStyle w:val="Sinespaciado"/>
        <w:jc w:val="both"/>
        <w:rPr>
          <w:rFonts w:ascii="Times New Roman" w:hAnsi="Times New Roman"/>
          <w:sz w:val="24"/>
        </w:rPr>
      </w:pPr>
    </w:p>
    <w:p w:rsidR="008B038F" w:rsidRDefault="009C5745" w:rsidP="008B038F">
      <w:pPr>
        <w:pStyle w:val="Sinespaciado"/>
        <w:jc w:val="both"/>
        <w:rPr>
          <w:rFonts w:ascii="Times New Roman" w:hAnsi="Times New Roman"/>
          <w:sz w:val="24"/>
          <w:lang w:eastAsia="es-GT"/>
        </w:rPr>
      </w:pPr>
      <w:r>
        <w:rPr>
          <w:rFonts w:ascii="Times New Roman" w:hAnsi="Times New Roman"/>
          <w:sz w:val="24"/>
          <w:lang w:eastAsia="es-GT"/>
        </w:rPr>
        <w:t xml:space="preserve">Se realizó el </w:t>
      </w:r>
      <w:r w:rsidR="008B038F" w:rsidRPr="00CC49BD">
        <w:rPr>
          <w:rFonts w:ascii="Times New Roman" w:hAnsi="Times New Roman"/>
          <w:sz w:val="24"/>
          <w:lang w:eastAsia="es-GT"/>
        </w:rPr>
        <w:t>IV encuentro Bienal Centroamericano y del Caribe de Investi</w:t>
      </w:r>
      <w:r>
        <w:rPr>
          <w:rFonts w:ascii="Times New Roman" w:hAnsi="Times New Roman"/>
          <w:sz w:val="24"/>
          <w:lang w:eastAsia="es-GT"/>
        </w:rPr>
        <w:t>gación y Posgrado</w:t>
      </w:r>
      <w:r w:rsidR="008B038F" w:rsidRPr="00CC49BD">
        <w:rPr>
          <w:rFonts w:ascii="Times New Roman" w:hAnsi="Times New Roman"/>
          <w:sz w:val="24"/>
          <w:lang w:eastAsia="es-GT"/>
        </w:rPr>
        <w:t xml:space="preserve"> en Costa Rica, el</w:t>
      </w:r>
      <w:r w:rsidR="008B038F">
        <w:rPr>
          <w:rFonts w:ascii="Times New Roman" w:hAnsi="Times New Roman"/>
          <w:sz w:val="24"/>
          <w:lang w:eastAsia="es-GT"/>
        </w:rPr>
        <w:t xml:space="preserve"> </w:t>
      </w:r>
      <w:r w:rsidR="008B038F" w:rsidRPr="00CC49BD">
        <w:rPr>
          <w:rFonts w:ascii="Times New Roman" w:hAnsi="Times New Roman"/>
          <w:sz w:val="24"/>
          <w:lang w:eastAsia="es-GT"/>
        </w:rPr>
        <w:t>10 y 11 de octubre 2018. T</w:t>
      </w:r>
      <w:r w:rsidR="008B038F">
        <w:rPr>
          <w:rFonts w:ascii="Times New Roman" w:hAnsi="Times New Roman"/>
          <w:sz w:val="24"/>
          <w:lang w:eastAsia="es-GT"/>
        </w:rPr>
        <w:t>uvo</w:t>
      </w:r>
      <w:r w:rsidR="008B038F" w:rsidRPr="00CC49BD">
        <w:rPr>
          <w:rFonts w:ascii="Times New Roman" w:hAnsi="Times New Roman"/>
          <w:sz w:val="24"/>
          <w:lang w:eastAsia="es-GT"/>
        </w:rPr>
        <w:t xml:space="preserve"> por lema “Integrando voces para el bienestar regional”.</w:t>
      </w:r>
    </w:p>
    <w:p w:rsidR="00FC2D95" w:rsidRDefault="00FC2D95" w:rsidP="008B038F">
      <w:pPr>
        <w:pStyle w:val="Sinespaciado"/>
        <w:jc w:val="both"/>
        <w:rPr>
          <w:rFonts w:ascii="Times New Roman" w:hAnsi="Times New Roman"/>
          <w:sz w:val="24"/>
          <w:lang w:eastAsia="es-GT"/>
        </w:rPr>
      </w:pPr>
    </w:p>
    <w:p w:rsidR="00FC2D95" w:rsidRPr="00E32C26" w:rsidRDefault="00FC2D95" w:rsidP="008B038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F1B30" w:rsidRDefault="00BF1B30" w:rsidP="00BF1B30">
      <w:pPr>
        <w:pStyle w:val="Sinespaciado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Proyectos </w:t>
      </w:r>
    </w:p>
    <w:p w:rsidR="00BF1B30" w:rsidRDefault="00BF1B30" w:rsidP="00BF1B3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F1B30" w:rsidRDefault="00BF1B30" w:rsidP="00BF1B30">
      <w:pPr>
        <w:pStyle w:val="Sinespaciado1"/>
        <w:jc w:val="both"/>
        <w:rPr>
          <w:rFonts w:ascii="Times New Roman" w:hAnsi="Times New Roman"/>
        </w:rPr>
      </w:pPr>
      <w:proofErr w:type="gramStart"/>
      <w:r w:rsidRPr="00BF1B30">
        <w:rPr>
          <w:rFonts w:ascii="Times New Roman" w:hAnsi="Times New Roman"/>
          <w:b/>
          <w:szCs w:val="24"/>
        </w:rPr>
        <w:t>2.l</w:t>
      </w:r>
      <w:proofErr w:type="gramEnd"/>
      <w:r w:rsidRPr="00BF1B30">
        <w:rPr>
          <w:rFonts w:ascii="Times New Roman" w:hAnsi="Times New Roman"/>
          <w:b/>
          <w:szCs w:val="24"/>
        </w:rPr>
        <w:t>. P</w:t>
      </w:r>
      <w:r w:rsidRPr="00BF1B30">
        <w:rPr>
          <w:rFonts w:ascii="Times New Roman" w:hAnsi="Times New Roman"/>
          <w:b/>
        </w:rPr>
        <w:t>royecto “Fortalecimiento de la Gobernanza de la Gestión de Riesgo de Desastres en Centroamérica”, (Abril 2018 - Dic,2022)</w:t>
      </w:r>
      <w:r>
        <w:rPr>
          <w:rFonts w:ascii="Times New Roman" w:hAnsi="Times New Roman"/>
        </w:rPr>
        <w:t xml:space="preserve">, auspiciado por la Cooperación Suiza para el Desarrollo (COSUDE), denominado  por un monto de aproximadamente de $ 6,719,580.00.  </w:t>
      </w:r>
    </w:p>
    <w:p w:rsidR="00BF1B30" w:rsidRDefault="00BF1B30" w:rsidP="00BF1B30">
      <w:pPr>
        <w:pStyle w:val="Sinespaciado1"/>
        <w:jc w:val="both"/>
        <w:rPr>
          <w:rFonts w:ascii="Times New Roman" w:hAnsi="Times New Roman"/>
        </w:rPr>
      </w:pPr>
    </w:p>
    <w:p w:rsidR="00BF1B30" w:rsidRDefault="00BF1B30" w:rsidP="00BF1B30">
      <w:pPr>
        <w:pStyle w:val="Sinespaciado1"/>
        <w:jc w:val="both"/>
        <w:rPr>
          <w:rFonts w:ascii="Times New Roman" w:hAnsi="Times New Roman"/>
          <w:lang w:val="es-GT"/>
        </w:rPr>
      </w:pPr>
      <w:r>
        <w:rPr>
          <w:rFonts w:ascii="Times New Roman" w:hAnsi="Times New Roman"/>
          <w:bCs/>
        </w:rPr>
        <w:t>El objetivo general  es c</w:t>
      </w:r>
      <w:proofErr w:type="spellStart"/>
      <w:r>
        <w:rPr>
          <w:rFonts w:ascii="Times New Roman" w:hAnsi="Times New Roman"/>
          <w:bCs/>
          <w:lang w:val="es-GT"/>
        </w:rPr>
        <w:t>ontribuir</w:t>
      </w:r>
      <w:proofErr w:type="spellEnd"/>
      <w:r>
        <w:rPr>
          <w:rFonts w:ascii="Times New Roman" w:hAnsi="Times New Roman"/>
          <w:bCs/>
          <w:lang w:val="es-GT"/>
        </w:rPr>
        <w:t xml:space="preserve"> a fortalecer las capacidades de coordinación y articulación de la región para la gestión de riesgos a</w:t>
      </w:r>
      <w:bookmarkStart w:id="0" w:name="_GoBack"/>
      <w:bookmarkEnd w:id="0"/>
      <w:r>
        <w:rPr>
          <w:rFonts w:ascii="Times New Roman" w:hAnsi="Times New Roman"/>
          <w:bCs/>
          <w:lang w:val="es-GT"/>
        </w:rPr>
        <w:t xml:space="preserve"> desastres; e</w:t>
      </w:r>
      <w:proofErr w:type="spellStart"/>
      <w:r>
        <w:rPr>
          <w:rFonts w:ascii="Times New Roman" w:hAnsi="Times New Roman"/>
        </w:rPr>
        <w:t>stá</w:t>
      </w:r>
      <w:proofErr w:type="spellEnd"/>
      <w:r>
        <w:rPr>
          <w:rFonts w:ascii="Times New Roman" w:hAnsi="Times New Roman"/>
        </w:rPr>
        <w:t xml:space="preserve"> alineado con l</w:t>
      </w:r>
      <w:r>
        <w:rPr>
          <w:rFonts w:ascii="Times New Roman" w:hAnsi="Times New Roman"/>
          <w:lang w:val="es-MX"/>
        </w:rPr>
        <w:t>os Objetivos de Desarrollo Sostenible, Marco de Sendai proyectado a 2015-2030, PCGIR (SICA) y PUCARRD (CSUCA).</w:t>
      </w:r>
    </w:p>
    <w:p w:rsidR="00BF1B30" w:rsidRDefault="00BF1B30" w:rsidP="00BF1B30">
      <w:pPr>
        <w:jc w:val="both"/>
        <w:rPr>
          <w:rFonts w:ascii="Times-Roman" w:hAnsi="Times-Roman"/>
          <w:color w:val="000000"/>
          <w:sz w:val="24"/>
          <w:lang w:val="es-GT"/>
        </w:rPr>
      </w:pPr>
    </w:p>
    <w:p w:rsidR="00BF1B30" w:rsidRDefault="00BF1B30" w:rsidP="00BF1B30">
      <w:pPr>
        <w:jc w:val="both"/>
        <w:rPr>
          <w:rFonts w:ascii="Times-Roman" w:hAnsi="Times-Roman"/>
          <w:color w:val="000000"/>
          <w:sz w:val="24"/>
          <w:lang w:val="es-GT"/>
        </w:rPr>
      </w:pPr>
      <w:r>
        <w:rPr>
          <w:rFonts w:ascii="Times-Roman" w:hAnsi="Times-Roman"/>
          <w:color w:val="000000"/>
          <w:sz w:val="24"/>
          <w:lang w:val="es-GT"/>
        </w:rPr>
        <w:t>La  </w:t>
      </w:r>
      <w:r>
        <w:rPr>
          <w:rFonts w:ascii="Times-Roman" w:hAnsi="Times-Roman"/>
          <w:bCs/>
          <w:color w:val="000000"/>
          <w:sz w:val="24"/>
          <w:lang w:val="es-GT"/>
        </w:rPr>
        <w:t>Institución Ejecutora</w:t>
      </w:r>
      <w:r>
        <w:rPr>
          <w:rFonts w:ascii="Times-Roman" w:hAnsi="Times-Roman"/>
          <w:color w:val="000000"/>
          <w:sz w:val="24"/>
          <w:lang w:val="es-GT"/>
        </w:rPr>
        <w:t xml:space="preserve"> es el  Centro de Coordinación para la Prevención de Desastres Naturales en América Central (CEPREDENAC), tiene como s</w:t>
      </w:r>
      <w:r>
        <w:rPr>
          <w:rFonts w:ascii="Times-Roman" w:hAnsi="Times-Roman"/>
          <w:bCs/>
          <w:color w:val="000000"/>
          <w:sz w:val="24"/>
          <w:lang w:val="es-GT"/>
        </w:rPr>
        <w:t>ocios a n</w:t>
      </w:r>
      <w:r>
        <w:rPr>
          <w:rFonts w:ascii="Times-Roman" w:hAnsi="Times-Roman"/>
          <w:color w:val="000000"/>
          <w:sz w:val="24"/>
          <w:lang w:val="es-GT"/>
        </w:rPr>
        <w:t xml:space="preserve">ivel regional al Consejo Superior Universitario Centroamericano (CSUCA). </w:t>
      </w:r>
    </w:p>
    <w:p w:rsidR="00BF1B30" w:rsidRDefault="00BF1B30" w:rsidP="00BF1B30">
      <w:pPr>
        <w:pStyle w:val="Sinespaciado1"/>
        <w:jc w:val="both"/>
        <w:rPr>
          <w:rFonts w:ascii="Times New Roman" w:hAnsi="Times New Roman"/>
        </w:rPr>
      </w:pPr>
    </w:p>
    <w:p w:rsidR="00BF1B30" w:rsidRDefault="00BF1B30" w:rsidP="00BF1B30">
      <w:pPr>
        <w:pStyle w:val="Sinespaciado1"/>
        <w:jc w:val="both"/>
        <w:rPr>
          <w:rFonts w:ascii="Times New Roman" w:hAnsi="Times New Roman"/>
          <w:bCs/>
          <w:lang w:val="es-GT"/>
        </w:rPr>
      </w:pPr>
      <w:r>
        <w:rPr>
          <w:rFonts w:ascii="Times New Roman" w:hAnsi="Times New Roman"/>
          <w:lang w:val="es-GT"/>
        </w:rPr>
        <w:t xml:space="preserve">Se espera que los </w:t>
      </w:r>
      <w:r>
        <w:rPr>
          <w:rFonts w:ascii="Times New Roman" w:hAnsi="Times New Roman"/>
          <w:bCs/>
          <w:lang w:val="es-GT"/>
        </w:rPr>
        <w:t xml:space="preserve">Profesionales universitarios de la región mejoren sus competencias en RRD y adaptación al cambio climático (ACC) y contribuyan al desarrollo </w:t>
      </w:r>
      <w:proofErr w:type="spellStart"/>
      <w:r>
        <w:rPr>
          <w:rFonts w:ascii="Times New Roman" w:hAnsi="Times New Roman"/>
          <w:bCs/>
          <w:lang w:val="es-GT"/>
        </w:rPr>
        <w:t>resiliente</w:t>
      </w:r>
      <w:proofErr w:type="spellEnd"/>
      <w:r>
        <w:rPr>
          <w:rFonts w:ascii="Times New Roman" w:hAnsi="Times New Roman"/>
          <w:bCs/>
          <w:lang w:val="es-GT"/>
        </w:rPr>
        <w:t xml:space="preserve"> de la región. Que el c</w:t>
      </w:r>
      <w:proofErr w:type="spellStart"/>
      <w:r>
        <w:rPr>
          <w:rFonts w:ascii="Times New Roman" w:hAnsi="Times New Roman"/>
          <w:bCs/>
          <w:lang w:val="es-MX"/>
        </w:rPr>
        <w:t>urrículo</w:t>
      </w:r>
      <w:proofErr w:type="spellEnd"/>
      <w:r>
        <w:rPr>
          <w:rFonts w:ascii="Times New Roman" w:hAnsi="Times New Roman"/>
          <w:bCs/>
          <w:lang w:val="es-MX"/>
        </w:rPr>
        <w:t xml:space="preserve"> de carreras seleccionadas mejore, se especialice y modifique con contenidos </w:t>
      </w:r>
      <w:r>
        <w:rPr>
          <w:rFonts w:ascii="Times New Roman" w:hAnsi="Times New Roman"/>
          <w:bCs/>
          <w:lang w:val="es-MX"/>
        </w:rPr>
        <w:lastRenderedPageBreak/>
        <w:t xml:space="preserve">de RRD y ACC. En este tema se convocará a 8 iniciativas de proyectos universitarios integrales en abril 2018. Que las universidades evaluadas cumplan criterios de las agencias de acreditación sobre RRD y ACC. Para ello se </w:t>
      </w:r>
      <w:proofErr w:type="spellStart"/>
      <w:r>
        <w:rPr>
          <w:rFonts w:ascii="Times New Roman" w:hAnsi="Times New Roman"/>
          <w:bCs/>
          <w:lang w:val="es-MX"/>
        </w:rPr>
        <w:t>seleccioaron</w:t>
      </w:r>
      <w:proofErr w:type="spellEnd"/>
      <w:r>
        <w:rPr>
          <w:rFonts w:ascii="Times New Roman" w:hAnsi="Times New Roman"/>
          <w:bCs/>
          <w:lang w:val="es-MX"/>
        </w:rPr>
        <w:t xml:space="preserve"> 6 iniciativas de proyectos agencia/universidad, en abril 2018.  Estos componentes los ejecutar la SG.CSUCA en las universidades, con un monto de $ 1</w:t>
      </w:r>
      <w:proofErr w:type="gramStart"/>
      <w:r>
        <w:rPr>
          <w:rFonts w:ascii="Times New Roman" w:hAnsi="Times New Roman"/>
          <w:bCs/>
          <w:lang w:val="es-MX"/>
        </w:rPr>
        <w:t>,700,000.00</w:t>
      </w:r>
      <w:proofErr w:type="gramEnd"/>
      <w:r>
        <w:rPr>
          <w:rFonts w:ascii="Times New Roman" w:hAnsi="Times New Roman"/>
          <w:bCs/>
          <w:lang w:val="es-MX"/>
        </w:rPr>
        <w:t xml:space="preserve"> </w:t>
      </w:r>
    </w:p>
    <w:p w:rsidR="00BF1B30" w:rsidRDefault="00BF1B30" w:rsidP="00BF1B30">
      <w:pPr>
        <w:pStyle w:val="Sinespaciado1"/>
        <w:jc w:val="both"/>
        <w:rPr>
          <w:rFonts w:ascii="Times New Roman" w:hAnsi="Times New Roman"/>
          <w:lang w:val="es-GT"/>
        </w:rPr>
      </w:pPr>
    </w:p>
    <w:p w:rsidR="00BF1B30" w:rsidRDefault="00BF1B30" w:rsidP="00BF1B30">
      <w:pPr>
        <w:pStyle w:val="Sinespaciado"/>
        <w:rPr>
          <w:rFonts w:eastAsia="Times New Roman" w:cs="Times New Roman"/>
          <w:lang w:val="es-419" w:eastAsia="es-ES"/>
        </w:rPr>
      </w:pPr>
      <w:r w:rsidRPr="00BF1B30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BF1B30">
        <w:rPr>
          <w:rFonts w:ascii="Times New Roman" w:eastAsia="Times New Roman" w:hAnsi="Times New Roman" w:cs="Times New Roman"/>
          <w:b/>
          <w:sz w:val="24"/>
          <w:szCs w:val="24"/>
          <w:lang w:val="es-419" w:eastAsia="es-ES"/>
        </w:rPr>
        <w:t>Proyecto "Construcción de Capacidades para la Reducción del Riesgo de Desastres (DRR) en las Instituciones de Educación Superior en América Latina y El Caribe" (Enero 2018 – Dic. 2019).</w:t>
      </w:r>
      <w:r>
        <w:rPr>
          <w:rFonts w:ascii="Times New Roman" w:eastAsia="Times New Roman" w:hAnsi="Times New Roman" w:cs="Times New Roman"/>
          <w:sz w:val="24"/>
          <w:szCs w:val="24"/>
          <w:lang w:val="es-419" w:eastAsia="es-ES"/>
        </w:rPr>
        <w:t xml:space="preserve"> Se ejecuta a través de la colaboración entre REDULAC-CSUCA y el apoyo financiero de USAID/OFDA, por un monto de $ 1,180,000.00.</w:t>
      </w:r>
      <w:r>
        <w:rPr>
          <w:rFonts w:eastAsia="Times New Roman" w:cs="Times New Roman"/>
          <w:lang w:val="es-419" w:eastAsia="es-ES"/>
        </w:rPr>
        <w:t xml:space="preserve">  </w:t>
      </w:r>
    </w:p>
    <w:p w:rsidR="00BF1B30" w:rsidRDefault="00BF1B30" w:rsidP="00BF1B30">
      <w:pPr>
        <w:rPr>
          <w:rFonts w:ascii="Calibri" w:hAnsi="Calibri"/>
          <w:b/>
          <w:bCs/>
          <w:color w:val="000000"/>
          <w:lang w:val="es-419"/>
        </w:rPr>
      </w:pPr>
    </w:p>
    <w:p w:rsidR="00BF1B30" w:rsidRDefault="00BF1B30" w:rsidP="00BF1B30">
      <w:pPr>
        <w:rPr>
          <w:rFonts w:ascii="Times New Roman" w:hAnsi="Times New Roman"/>
          <w:color w:val="000000"/>
          <w:sz w:val="24"/>
          <w:lang w:val="es-419"/>
        </w:rPr>
      </w:pPr>
      <w:r>
        <w:rPr>
          <w:rFonts w:ascii="Times New Roman" w:hAnsi="Times New Roman"/>
          <w:sz w:val="24"/>
          <w:lang w:val="es-419"/>
        </w:rPr>
        <w:t xml:space="preserve">Se publicaron dos convocatorias, una para </w:t>
      </w:r>
      <w:r>
        <w:rPr>
          <w:rFonts w:ascii="Times New Roman" w:hAnsi="Times New Roman"/>
          <w:bCs/>
          <w:color w:val="000000"/>
          <w:sz w:val="24"/>
          <w:lang w:val="es-419"/>
        </w:rPr>
        <w:t xml:space="preserve"> Implementar 20 proyectos de investigación en Riesgo Urbano </w:t>
      </w:r>
      <w:r>
        <w:rPr>
          <w:rFonts w:ascii="Times New Roman" w:hAnsi="Times New Roman"/>
          <w:sz w:val="24"/>
          <w:lang w:val="es-419"/>
        </w:rPr>
        <w:t>por amenazas de origen geológico, hidro-meteorológico y tecnológico.</w:t>
      </w:r>
    </w:p>
    <w:p w:rsidR="00BF1B30" w:rsidRDefault="00BF1B30" w:rsidP="00BF1B30">
      <w:pPr>
        <w:rPr>
          <w:rFonts w:ascii="Calibri" w:hAnsi="Calibri"/>
          <w:b/>
          <w:bCs/>
          <w:color w:val="000000"/>
          <w:lang w:val="es-419"/>
        </w:rPr>
      </w:pPr>
      <w:r>
        <w:rPr>
          <w:rFonts w:ascii="Calibri" w:hAnsi="Calibri"/>
          <w:bCs/>
          <w:color w:val="000000"/>
          <w:lang w:val="es-419"/>
        </w:rPr>
        <w:t xml:space="preserve">y otra </w:t>
      </w:r>
      <w:r>
        <w:rPr>
          <w:lang w:val="es-419"/>
        </w:rPr>
        <w:t xml:space="preserve">para 10 universidades de América Latina y el Caribe que presentaron propuestas de </w:t>
      </w:r>
      <w:r>
        <w:rPr>
          <w:b/>
          <w:lang w:val="es-419"/>
        </w:rPr>
        <w:t xml:space="preserve"> </w:t>
      </w:r>
      <w:r>
        <w:rPr>
          <w:lang w:val="es-419"/>
        </w:rPr>
        <w:t>implementar la Campaña de Universidades Sostenibles y Resilientes.</w:t>
      </w:r>
    </w:p>
    <w:p w:rsidR="00BF1B30" w:rsidRDefault="00BF1B30" w:rsidP="00BF1B3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F1B30" w:rsidRDefault="00BF1B30" w:rsidP="00BF1B30">
      <w:pPr>
        <w:pStyle w:val="Sinespaciado"/>
        <w:rPr>
          <w:rFonts w:ascii="Times New Roman" w:hAnsi="Times New Roman" w:cs="Times New Roman"/>
          <w:bCs/>
          <w:sz w:val="24"/>
          <w:szCs w:val="24"/>
        </w:rPr>
      </w:pPr>
      <w:r w:rsidRPr="00BF1B30">
        <w:rPr>
          <w:rFonts w:ascii="Times New Roman" w:hAnsi="Times New Roman" w:cs="Times New Roman"/>
          <w:b/>
          <w:sz w:val="24"/>
          <w:szCs w:val="24"/>
        </w:rPr>
        <w:t xml:space="preserve">2.3. Proyecto </w:t>
      </w:r>
      <w:r w:rsidRPr="00BF1B30">
        <w:rPr>
          <w:rFonts w:ascii="Times New Roman" w:hAnsi="Times New Roman" w:cs="Times New Roman"/>
          <w:b/>
          <w:bCs/>
          <w:sz w:val="24"/>
          <w:szCs w:val="24"/>
          <w:lang w:val="es-MX"/>
        </w:rPr>
        <w:t>Integración Regional, Universidad y Desarrollo Sostenible en Centroamérica (15/10/2016-15/10/2018)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>es auspiciado por la Unión Europea  dentro del Programa ERASMUS.</w:t>
      </w:r>
      <w:r>
        <w:rPr>
          <w:bCs/>
        </w:rPr>
        <w:t xml:space="preserve">  </w:t>
      </w:r>
      <w:r>
        <w:rPr>
          <w:rFonts w:ascii="Times New Roman" w:hAnsi="Times New Roman"/>
          <w:bCs/>
          <w:sz w:val="24"/>
        </w:rPr>
        <w:t xml:space="preserve">Participan 12 universidades de Centroamérica, el CSUCA, CENPROMYPE </w:t>
      </w:r>
      <w:r>
        <w:rPr>
          <w:rFonts w:ascii="Times New Roman" w:hAnsi="Times New Roman" w:cs="Times New Roman"/>
          <w:bCs/>
          <w:sz w:val="24"/>
          <w:szCs w:val="24"/>
        </w:rPr>
        <w:t xml:space="preserve">y por la parte europea: la Escuela Superior de Comercio de Paris (ESCP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Francia), la Universidad Camilo José Cela (España), Dinamia Sociedad Cooperativa (España) y 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el Instituto Politécnico de Viana do Castelo - IPVC (Portugal) quien coordina este proyecto.</w:t>
      </w:r>
    </w:p>
    <w:p w:rsidR="00BF1B30" w:rsidRDefault="00BF1B30" w:rsidP="00BF1B30">
      <w:pPr>
        <w:pStyle w:val="Sinespaciado"/>
        <w:rPr>
          <w:rFonts w:ascii="Times New Roman" w:hAnsi="Times New Roman"/>
          <w:bCs/>
          <w:sz w:val="24"/>
        </w:rPr>
      </w:pPr>
    </w:p>
    <w:p w:rsidR="00BF1B30" w:rsidRDefault="00BF1B30" w:rsidP="00BF1B30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lang w:val="es-ES_tradnl"/>
        </w:rPr>
        <w:t>El Objetivo General es c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ontribuir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 internacionalizar la educación superior en Centroamérica y  reforzar el papel de las Universidades centroamericanas en el desarrollo socioeconómico sostenible de la región.</w:t>
      </w:r>
    </w:p>
    <w:p w:rsidR="00BF1B30" w:rsidRDefault="00BF1B30" w:rsidP="00BF1B30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BF1B30" w:rsidRDefault="00BF1B30" w:rsidP="00BF1B30">
      <w:pPr>
        <w:pStyle w:val="Sinespaciado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lang w:val="es-ES"/>
        </w:rPr>
        <w:t>El proyecto se desarrolla en tres fases</w:t>
      </w:r>
      <w:proofErr w:type="gramStart"/>
      <w:r>
        <w:rPr>
          <w:rFonts w:ascii="Times New Roman" w:hAnsi="Times New Roman"/>
          <w:bCs/>
          <w:sz w:val="24"/>
          <w:lang w:val="es-ES"/>
        </w:rPr>
        <w:t>:  Formación</w:t>
      </w:r>
      <w:proofErr w:type="gramEnd"/>
      <w:r>
        <w:rPr>
          <w:rFonts w:ascii="Times New Roman" w:hAnsi="Times New Roman"/>
          <w:bCs/>
          <w:sz w:val="24"/>
          <w:lang w:val="es-ES"/>
        </w:rPr>
        <w:t xml:space="preserve"> académica, Gerencias asistidas y Prácticas empresariales.  Se han capacitado 24 profesores y 240 estudiantes. Financiamiento a 48 proyectos de emprendimiento empresariales y de estos se seleccionarán 12 estudiantes para que realicen su práctica en empresas regionales seleccionadas. </w:t>
      </w:r>
    </w:p>
    <w:p w:rsidR="00025381" w:rsidRDefault="00025381" w:rsidP="00D70B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B4F0A" w:rsidRDefault="007B4F0A" w:rsidP="00D70BA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7B4F0A">
        <w:rPr>
          <w:rFonts w:ascii="Times New Roman" w:hAnsi="Times New Roman" w:cs="Times New Roman"/>
          <w:b/>
          <w:sz w:val="24"/>
          <w:szCs w:val="24"/>
        </w:rPr>
        <w:t>2.4. Proyecto</w:t>
      </w:r>
      <w:proofErr w:type="gramStart"/>
      <w:r w:rsidRPr="007B4F0A">
        <w:rPr>
          <w:rFonts w:ascii="Times New Roman" w:hAnsi="Times New Roman" w:cs="Times New Roman"/>
          <w:b/>
          <w:sz w:val="24"/>
          <w:szCs w:val="24"/>
        </w:rPr>
        <w:t>:  Escuela</w:t>
      </w:r>
      <w:proofErr w:type="gramEnd"/>
      <w:r w:rsidRPr="007B4F0A">
        <w:rPr>
          <w:rFonts w:ascii="Times New Roman" w:hAnsi="Times New Roman" w:cs="Times New Roman"/>
          <w:b/>
          <w:sz w:val="24"/>
          <w:szCs w:val="24"/>
        </w:rPr>
        <w:t xml:space="preserve"> Centroamericana en Conservación de Bienes Culturales y Museología.</w:t>
      </w:r>
      <w:r w:rsidR="0060097C" w:rsidRPr="0060097C">
        <w:rPr>
          <w:rFonts w:ascii="Times New Roman" w:hAnsi="Times New Roman" w:cs="Times New Roman"/>
          <w:sz w:val="24"/>
          <w:szCs w:val="24"/>
        </w:rPr>
        <w:t xml:space="preserve"> Es financiado por la</w:t>
      </w:r>
      <w:r w:rsidR="00600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97C" w:rsidRPr="0060097C">
        <w:rPr>
          <w:rFonts w:ascii="Times New Roman" w:hAnsi="Times New Roman" w:cs="Times New Roman"/>
          <w:sz w:val="24"/>
          <w:szCs w:val="24"/>
        </w:rPr>
        <w:t>Agencia de Cooperación Española para el desarrollo</w:t>
      </w:r>
      <w:r w:rsidR="0060097C">
        <w:rPr>
          <w:rFonts w:ascii="Times New Roman" w:hAnsi="Times New Roman" w:cs="Times New Roman"/>
          <w:sz w:val="24"/>
          <w:szCs w:val="24"/>
        </w:rPr>
        <w:t>, por un monto de $ 74,000.00. La fase inicial consiste en el levantamiento de planos del Convento Santa Teresa de Jesús, en la ciudad Antigua Guatemala, que será la sede de la Escuela.</w:t>
      </w:r>
    </w:p>
    <w:p w:rsidR="007B4F0A" w:rsidRPr="007B4F0A" w:rsidRDefault="007B4F0A" w:rsidP="00D70BA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D70BA5" w:rsidRPr="00025381" w:rsidRDefault="00025381" w:rsidP="00D70BA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025381">
        <w:rPr>
          <w:rFonts w:ascii="Times New Roman" w:hAnsi="Times New Roman" w:cs="Times New Roman"/>
          <w:b/>
          <w:sz w:val="24"/>
          <w:szCs w:val="24"/>
        </w:rPr>
        <w:t>2.</w:t>
      </w:r>
      <w:r w:rsidR="007B4F0A">
        <w:rPr>
          <w:rFonts w:ascii="Times New Roman" w:hAnsi="Times New Roman" w:cs="Times New Roman"/>
          <w:b/>
          <w:sz w:val="24"/>
          <w:szCs w:val="24"/>
        </w:rPr>
        <w:t>5</w:t>
      </w:r>
      <w:r w:rsidRPr="00025381">
        <w:rPr>
          <w:rFonts w:ascii="Times New Roman" w:hAnsi="Times New Roman" w:cs="Times New Roman"/>
          <w:b/>
          <w:sz w:val="24"/>
          <w:szCs w:val="24"/>
        </w:rPr>
        <w:t>. Cartera de proyectos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25381">
        <w:rPr>
          <w:rFonts w:ascii="Times New Roman" w:hAnsi="Times New Roman" w:cs="Times New Roman"/>
          <w:sz w:val="24"/>
          <w:szCs w:val="24"/>
        </w:rPr>
        <w:t xml:space="preserve"> La</w:t>
      </w:r>
      <w:proofErr w:type="gramEnd"/>
      <w:r w:rsidRPr="00025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SG.CSUCA ha establecido comunicación con la SG-SICA para el apoyo en la gestión de proyectos regionales.  Como primer paso se ha creado una cartera de perfiles de proyectos que incluye a todos los sistemas.  Se está organizando una mesa de cooperantes con el objeto de presentar los proyectos prioritarios para su financiamiento.</w:t>
      </w:r>
    </w:p>
    <w:sectPr w:rsidR="00D70BA5" w:rsidRPr="000253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2AAF"/>
    <w:multiLevelType w:val="multilevel"/>
    <w:tmpl w:val="61788F2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81490B"/>
    <w:multiLevelType w:val="hybridMultilevel"/>
    <w:tmpl w:val="C8306DB0"/>
    <w:lvl w:ilvl="0" w:tplc="8668D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6A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0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42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C5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48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EC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C5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44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142B9B"/>
    <w:multiLevelType w:val="hybridMultilevel"/>
    <w:tmpl w:val="2F30A5B4"/>
    <w:lvl w:ilvl="0" w:tplc="8362A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4F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07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8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C0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28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ED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82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0E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F26ABE"/>
    <w:multiLevelType w:val="hybridMultilevel"/>
    <w:tmpl w:val="DB780C58"/>
    <w:lvl w:ilvl="0" w:tplc="DFAC4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04461"/>
    <w:multiLevelType w:val="hybridMultilevel"/>
    <w:tmpl w:val="4E440C9E"/>
    <w:lvl w:ilvl="0" w:tplc="89527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D56C6"/>
    <w:multiLevelType w:val="hybridMultilevel"/>
    <w:tmpl w:val="4F0605EE"/>
    <w:lvl w:ilvl="0" w:tplc="CB40D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65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02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4C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C5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A4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8B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08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AE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9C2705"/>
    <w:multiLevelType w:val="hybridMultilevel"/>
    <w:tmpl w:val="90F6D5F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C90"/>
    <w:multiLevelType w:val="hybridMultilevel"/>
    <w:tmpl w:val="A30C838E"/>
    <w:lvl w:ilvl="0" w:tplc="83C0E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EE428">
      <w:start w:val="1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CA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2C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41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2E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24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0F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05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634BDC"/>
    <w:multiLevelType w:val="hybridMultilevel"/>
    <w:tmpl w:val="1D383F74"/>
    <w:lvl w:ilvl="0" w:tplc="BD04F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249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ADD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EE8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6E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6CD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A21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6A6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4C5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EB1ABF"/>
    <w:multiLevelType w:val="hybridMultilevel"/>
    <w:tmpl w:val="B3F68950"/>
    <w:lvl w:ilvl="0" w:tplc="4DB21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08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A4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06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EF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61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CE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4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86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DE224C"/>
    <w:multiLevelType w:val="multilevel"/>
    <w:tmpl w:val="EFD8D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A112289"/>
    <w:multiLevelType w:val="hybridMultilevel"/>
    <w:tmpl w:val="56068AF4"/>
    <w:lvl w:ilvl="0" w:tplc="18909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85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7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69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8E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88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4F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C4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6F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A5"/>
    <w:rsid w:val="00025381"/>
    <w:rsid w:val="00083927"/>
    <w:rsid w:val="000D57E8"/>
    <w:rsid w:val="00120F78"/>
    <w:rsid w:val="001237D5"/>
    <w:rsid w:val="00145C46"/>
    <w:rsid w:val="001A422F"/>
    <w:rsid w:val="002460EB"/>
    <w:rsid w:val="002A4A8B"/>
    <w:rsid w:val="002B1058"/>
    <w:rsid w:val="002D7212"/>
    <w:rsid w:val="0037374C"/>
    <w:rsid w:val="003A0D49"/>
    <w:rsid w:val="003C4F0D"/>
    <w:rsid w:val="003E2439"/>
    <w:rsid w:val="00400B04"/>
    <w:rsid w:val="00426863"/>
    <w:rsid w:val="00442560"/>
    <w:rsid w:val="00473847"/>
    <w:rsid w:val="004C6F78"/>
    <w:rsid w:val="00520CAF"/>
    <w:rsid w:val="005A128A"/>
    <w:rsid w:val="005C26BD"/>
    <w:rsid w:val="0060097C"/>
    <w:rsid w:val="006C1D02"/>
    <w:rsid w:val="006D176C"/>
    <w:rsid w:val="00710C77"/>
    <w:rsid w:val="007979EB"/>
    <w:rsid w:val="007B4F0A"/>
    <w:rsid w:val="008B038F"/>
    <w:rsid w:val="008C2CD8"/>
    <w:rsid w:val="008E083D"/>
    <w:rsid w:val="008F16AD"/>
    <w:rsid w:val="00907331"/>
    <w:rsid w:val="00915A4E"/>
    <w:rsid w:val="00924205"/>
    <w:rsid w:val="00947FEE"/>
    <w:rsid w:val="009A15BF"/>
    <w:rsid w:val="009C5745"/>
    <w:rsid w:val="009F1620"/>
    <w:rsid w:val="00A223AF"/>
    <w:rsid w:val="00A77C36"/>
    <w:rsid w:val="00AF2741"/>
    <w:rsid w:val="00B11865"/>
    <w:rsid w:val="00B3745C"/>
    <w:rsid w:val="00BF1B30"/>
    <w:rsid w:val="00BF6025"/>
    <w:rsid w:val="00C12E11"/>
    <w:rsid w:val="00C14F84"/>
    <w:rsid w:val="00C411F6"/>
    <w:rsid w:val="00CA47C1"/>
    <w:rsid w:val="00D3357C"/>
    <w:rsid w:val="00D35EA5"/>
    <w:rsid w:val="00D60E96"/>
    <w:rsid w:val="00D70BA5"/>
    <w:rsid w:val="00D970F4"/>
    <w:rsid w:val="00E32C26"/>
    <w:rsid w:val="00E80F0B"/>
    <w:rsid w:val="00F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852FCE-6D32-4DB8-90B7-D156D60D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20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70BA5"/>
    <w:pPr>
      <w:spacing w:after="0" w:line="240" w:lineRule="auto"/>
    </w:pPr>
  </w:style>
  <w:style w:type="character" w:customStyle="1" w:styleId="apple-converted-space">
    <w:name w:val="apple-converted-space"/>
    <w:rsid w:val="006D176C"/>
  </w:style>
  <w:style w:type="character" w:customStyle="1" w:styleId="SinespaciadoCar">
    <w:name w:val="Sin espaciado Car"/>
    <w:link w:val="Sinespaciado"/>
    <w:uiPriority w:val="1"/>
    <w:rsid w:val="002A4A8B"/>
  </w:style>
  <w:style w:type="paragraph" w:customStyle="1" w:styleId="Sinespaciado1">
    <w:name w:val="Sin espaciado1"/>
    <w:qFormat/>
    <w:rsid w:val="009F1620"/>
    <w:pPr>
      <w:spacing w:after="0" w:line="240" w:lineRule="auto"/>
    </w:pPr>
    <w:rPr>
      <w:rFonts w:ascii="Arial" w:eastAsia="Calibri" w:hAnsi="Arial" w:cs="Times New Roman"/>
      <w:sz w:val="24"/>
      <w:lang w:val="es-SV"/>
    </w:rPr>
  </w:style>
  <w:style w:type="paragraph" w:styleId="Prrafodelista">
    <w:name w:val="List Paragraph"/>
    <w:basedOn w:val="Normal"/>
    <w:uiPriority w:val="34"/>
    <w:qFormat/>
    <w:rsid w:val="004C6F78"/>
    <w:pPr>
      <w:ind w:left="720"/>
      <w:contextualSpacing/>
    </w:pPr>
    <w:rPr>
      <w:rFonts w:ascii="Times New Roman" w:hAnsi="Times New Roman"/>
      <w:sz w:val="24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400B04"/>
    <w:pPr>
      <w:spacing w:before="100" w:beforeAutospacing="1" w:after="100" w:afterAutospacing="1"/>
    </w:pPr>
    <w:rPr>
      <w:rFonts w:ascii="Times New Roman" w:hAnsi="Times New Roman"/>
      <w:sz w:val="24"/>
      <w:lang w:val="es-GT" w:eastAsia="es-GT"/>
    </w:rPr>
  </w:style>
  <w:style w:type="paragraph" w:styleId="Textoindependiente2">
    <w:name w:val="Body Text 2"/>
    <w:basedOn w:val="Normal"/>
    <w:link w:val="Textoindependiente2Car"/>
    <w:rsid w:val="005A128A"/>
    <w:pPr>
      <w:suppressAutoHyphens/>
    </w:pPr>
    <w:rPr>
      <w:rFonts w:cs="Arial"/>
      <w:b/>
      <w:sz w:val="24"/>
      <w:szCs w:val="22"/>
      <w:lang w:val="es-DO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5A128A"/>
    <w:rPr>
      <w:rFonts w:ascii="Arial" w:eastAsia="Times New Roman" w:hAnsi="Arial" w:cs="Arial"/>
      <w:b/>
      <w:sz w:val="24"/>
      <w:lang w:val="es-DO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8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86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5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9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3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6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5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8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1224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amartinez2</dc:creator>
  <cp:keywords/>
  <dc:description/>
  <cp:lastModifiedBy>Anibal Martinez</cp:lastModifiedBy>
  <cp:revision>9</cp:revision>
  <cp:lastPrinted>2018-04-09T17:05:00Z</cp:lastPrinted>
  <dcterms:created xsi:type="dcterms:W3CDTF">2019-09-04T13:25:00Z</dcterms:created>
  <dcterms:modified xsi:type="dcterms:W3CDTF">2019-09-25T12:50:00Z</dcterms:modified>
</cp:coreProperties>
</file>